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F5" w:rsidRPr="00851AC3" w:rsidRDefault="006821F5" w:rsidP="000106C8">
      <w:pPr>
        <w:spacing w:after="0" w:line="240" w:lineRule="auto"/>
        <w:ind w:right="-314"/>
        <w:jc w:val="right"/>
        <w:rPr>
          <w:rFonts w:ascii="Times New Roman" w:hAnsi="Times New Roman" w:cs="Times New Roman"/>
          <w:b/>
        </w:rPr>
      </w:pPr>
      <w:r w:rsidRPr="00851AC3">
        <w:rPr>
          <w:rFonts w:ascii="Times New Roman" w:hAnsi="Times New Roman" w:cs="Times New Roman"/>
          <w:b/>
        </w:rPr>
        <w:t xml:space="preserve">Приложение №1 </w:t>
      </w:r>
    </w:p>
    <w:p w:rsidR="006821F5" w:rsidRPr="00851AC3" w:rsidRDefault="006821F5" w:rsidP="000106C8">
      <w:pPr>
        <w:spacing w:after="0" w:line="240" w:lineRule="auto"/>
        <w:ind w:right="-314"/>
        <w:jc w:val="right"/>
        <w:rPr>
          <w:rFonts w:ascii="Times New Roman" w:hAnsi="Times New Roman" w:cs="Times New Roman"/>
          <w:b/>
        </w:rPr>
      </w:pPr>
      <w:r w:rsidRPr="00851AC3">
        <w:rPr>
          <w:rFonts w:ascii="Times New Roman" w:hAnsi="Times New Roman" w:cs="Times New Roman"/>
          <w:b/>
        </w:rPr>
        <w:t>к спецификации № 1 к договору №____________ от ______2015г.</w:t>
      </w:r>
    </w:p>
    <w:p w:rsidR="006821F5" w:rsidRDefault="006821F5" w:rsidP="000106C8">
      <w:pPr>
        <w:keepNext/>
        <w:keepLines/>
        <w:spacing w:after="0"/>
        <w:jc w:val="center"/>
        <w:outlineLvl w:val="6"/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</w:pPr>
    </w:p>
    <w:p w:rsidR="006821F5" w:rsidRPr="00B073B0" w:rsidRDefault="006821F5" w:rsidP="000106C8">
      <w:pPr>
        <w:keepNext/>
        <w:keepLines/>
        <w:spacing w:after="0"/>
        <w:jc w:val="center"/>
        <w:outlineLvl w:val="6"/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</w:pPr>
      <w:r w:rsidRPr="00B073B0"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>ТЕХНИЧЕСКОЕ ЗАДАНИЕ</w:t>
      </w:r>
    </w:p>
    <w:p w:rsidR="006821F5" w:rsidRDefault="006821F5" w:rsidP="000106C8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21F5" w:rsidRPr="00B073B0" w:rsidRDefault="006821F5" w:rsidP="006821F5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7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и характеристики поставляемого товара: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9"/>
        <w:gridCol w:w="2788"/>
        <w:gridCol w:w="800"/>
        <w:gridCol w:w="735"/>
        <w:gridCol w:w="9784"/>
      </w:tblGrid>
      <w:tr w:rsidR="00C251F7" w:rsidRPr="00B073B0" w:rsidTr="00C251F7">
        <w:trPr>
          <w:trHeight w:val="1060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1632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Ед. изм.</w:t>
            </w:r>
          </w:p>
        </w:tc>
        <w:tc>
          <w:tcPr>
            <w:tcW w:w="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Кол-во</w:t>
            </w:r>
          </w:p>
        </w:tc>
        <w:tc>
          <w:tcPr>
            <w:tcW w:w="97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Качественные характеристики</w:t>
            </w:r>
          </w:p>
        </w:tc>
      </w:tr>
      <w:tr w:rsidR="00C251F7" w:rsidRPr="00B073B0" w:rsidTr="00C251F7">
        <w:trPr>
          <w:trHeight w:val="76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4DE7">
              <w:rPr>
                <w:rFonts w:ascii="Times New Roman" w:hAnsi="Times New Roman" w:cs="Times New Roman"/>
              </w:rPr>
              <w:t>Эндопротез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тазобедренного сустава </w:t>
            </w:r>
            <w:proofErr w:type="gramStart"/>
            <w:r w:rsidRPr="00C24DE7">
              <w:rPr>
                <w:rFonts w:ascii="Times New Roman" w:hAnsi="Times New Roman" w:cs="Times New Roman"/>
              </w:rPr>
              <w:t>тотальный</w:t>
            </w:r>
            <w:proofErr w:type="gramEnd"/>
            <w:r w:rsidRPr="00C24D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бесцементный</w:t>
            </w:r>
            <w:proofErr w:type="spellEnd"/>
          </w:p>
          <w:p w:rsidR="00C251F7" w:rsidRPr="00163204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с комбинированной фиксацией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</w:t>
            </w:r>
            <w:proofErr w:type="spellEnd"/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1F7" w:rsidRPr="00163204" w:rsidRDefault="00C251F7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В состав комплекта должны входить:</w:t>
            </w: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Ножка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бесцементной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фиксации  – 1 шт.,</w:t>
            </w: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Головка – 1 шт.,</w:t>
            </w: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4DE7">
              <w:rPr>
                <w:rFonts w:ascii="Times New Roman" w:hAnsi="Times New Roman" w:cs="Times New Roman"/>
              </w:rPr>
              <w:t>Бесцементная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чашка  – 1 шт.</w:t>
            </w: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Ножка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бесцементной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фиксации:</w:t>
            </w: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Материал бедренного компонента (ножки) – кованый титан  с плазменным напылением гидроксиапатита по всей длине ножки. Толщина слоя гидроксиапатита не более 155микрон, что предотвращает его отслоение и раннюю резорбцию. Прочность на сдвиг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гидроксиапатитового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покрытия не менее 35Мpa. Форма ножки – изогнуто-прямой "двойной клин", обеспечивающий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самоцентрацию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в костно-мозговом канале, с прямоугольным сечением, закругленными гранями в проксимальном отделе для обеспечения лучшего заклинивания в губчатой кости, без «воротничка», с горизонтальными бороздами по всему периметру проксимальной части ножки и продольными в дистальной части, что увеличивает площадь контакта на 15% и равномерно распределяет нагрузку на кость. Тип фиксации ножки –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бесцементная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проксимальная самозаклиниванием. Величина </w:t>
            </w:r>
            <w:proofErr w:type="spellStart"/>
            <w:r w:rsidRPr="00C24DE7">
              <w:rPr>
                <w:rFonts w:ascii="Times New Roman" w:hAnsi="Times New Roman" w:cs="Times New Roman"/>
              </w:rPr>
              <w:t>шеечно-диафизарного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угла 135º. Конус для посадки головки 12/14. Количество типоразмеров не менее 11 для стандартного офсета  и 8 для увеличенного офсета (</w:t>
            </w:r>
            <w:proofErr w:type="spellStart"/>
            <w:r w:rsidRPr="00C24DE7">
              <w:rPr>
                <w:rFonts w:ascii="Times New Roman" w:hAnsi="Times New Roman" w:cs="Times New Roman"/>
              </w:rPr>
              <w:t>латерализованные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ножки), с увеличением длины ножки от размера к размеру. Подготовка ложа ножки протеза за счет уплотнения костной ткани.</w:t>
            </w:r>
          </w:p>
          <w:p w:rsidR="00C251F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Головка </w:t>
            </w: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>Должна быть изготовлена из нержавеющей стали, должна иметь конус 12/14, диаметром 28 мм., Не менее 4 типоразмеров по глубине посадки</w:t>
            </w:r>
          </w:p>
          <w:p w:rsidR="00C251F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51F7" w:rsidRPr="00C24DE7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4DE7">
              <w:rPr>
                <w:rFonts w:ascii="Times New Roman" w:hAnsi="Times New Roman" w:cs="Times New Roman"/>
              </w:rPr>
              <w:t>Бесцементная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Чашка: </w:t>
            </w:r>
          </w:p>
          <w:p w:rsidR="00C251F7" w:rsidRPr="00163204" w:rsidRDefault="00C251F7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DE7">
              <w:rPr>
                <w:rFonts w:ascii="Times New Roman" w:hAnsi="Times New Roman" w:cs="Times New Roman"/>
              </w:rPr>
              <w:t xml:space="preserve">Моноблочная, однокомпонентная,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бесцементной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фиксации, с наличием двух первичных стабилизаторов ротационной устойчивости с высотой штифта не менее 12 мм и диаметром не менее 6 мм, изготовленный из СВМП(UHWMPE) ISO5834-2 с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остеоинтеграцией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за счет титанового </w:t>
            </w:r>
            <w:r w:rsidRPr="00C24DE7">
              <w:rPr>
                <w:rFonts w:ascii="Times New Roman" w:hAnsi="Times New Roman" w:cs="Times New Roman"/>
              </w:rPr>
              <w:lastRenderedPageBreak/>
              <w:t xml:space="preserve">напыления (размер частиц 100-200 микрон) на полиэтиленовую внешнюю поверхность чашки. Стабильность должна осуществляться за счёт плотной посадки чашки;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деротационными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штифтами,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моноблочно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крепящимися к чашке и дополнительная фиксация винтами  по периметру чашки. Отверстия для винтов должны проходить через всю массу материала чашки, но вне зоны проекции модульной головки. </w:t>
            </w:r>
            <w:proofErr w:type="spellStart"/>
            <w:r w:rsidRPr="00C24DE7">
              <w:rPr>
                <w:rFonts w:ascii="Times New Roman" w:hAnsi="Times New Roman" w:cs="Times New Roman"/>
              </w:rPr>
              <w:t>Монокомплектность</w:t>
            </w:r>
            <w:proofErr w:type="spellEnd"/>
            <w:r w:rsidRPr="00C24DE7">
              <w:rPr>
                <w:rFonts w:ascii="Times New Roman" w:hAnsi="Times New Roman" w:cs="Times New Roman"/>
              </w:rPr>
              <w:t xml:space="preserve"> чашки должна обеспечивать эффективную толщину полиэтилена не менее 9 мм, даже при внешнем диаметре 46 мм.</w:t>
            </w:r>
          </w:p>
        </w:tc>
      </w:tr>
      <w:tr w:rsidR="009C589C" w:rsidRPr="00B073B0" w:rsidTr="00C251F7">
        <w:trPr>
          <w:trHeight w:val="76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9C" w:rsidRPr="00163204" w:rsidRDefault="009C589C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89C" w:rsidRPr="00C24DE7" w:rsidRDefault="009C589C" w:rsidP="00C24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C589C">
              <w:rPr>
                <w:rFonts w:ascii="Times New Roman" w:hAnsi="Times New Roman" w:cs="Times New Roman"/>
              </w:rPr>
              <w:t>Эндопротез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тазобедренного сустава </w:t>
            </w:r>
            <w:proofErr w:type="gramStart"/>
            <w:r w:rsidRPr="009C589C">
              <w:rPr>
                <w:rFonts w:ascii="Times New Roman" w:hAnsi="Times New Roman" w:cs="Times New Roman"/>
              </w:rPr>
              <w:t>тотальный</w:t>
            </w:r>
            <w:proofErr w:type="gramEnd"/>
            <w:r w:rsidRPr="009C589C">
              <w:rPr>
                <w:rFonts w:ascii="Times New Roman" w:hAnsi="Times New Roman" w:cs="Times New Roman"/>
              </w:rPr>
              <w:t xml:space="preserve"> цементной фиксации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9C" w:rsidRDefault="009C589C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</w:t>
            </w:r>
            <w:proofErr w:type="spellEnd"/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9C" w:rsidRDefault="009C589C" w:rsidP="0016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В состав комплекта должны входить: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Ножка цементной фиксации  – 1 шт.,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Головка – 1 шт.,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Цементная чашка  – 1 шт.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Костный Цемент – 2 шт.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Ножка  цементной фиксации: 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Бедренный компонент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эндопротеза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под философию Мюллера должен быть изготовлен из нержавеющей стали, должен представлять собой прямую самозаклинивающуюся ножку. 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Ножка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эндопротеза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должна иметь продольные борозды, которые увеличивают площадь контакта между цементной мантией и ножкой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эндопротеза</w:t>
            </w:r>
            <w:proofErr w:type="spellEnd"/>
            <w:r w:rsidRPr="009C589C">
              <w:rPr>
                <w:rFonts w:ascii="Times New Roman" w:hAnsi="Times New Roman" w:cs="Times New Roman"/>
              </w:rPr>
              <w:t>, что способствуют плотному заполнению канала цементом и равномерному распределению нагрузки на цементную мантию.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Угол шейки должен составлять не  менее 125 и не более 140 градусов.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Размеры ножки должны быть не менее 7 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С увеличением размера должны увеличиваться: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длина ножки - от 137 мм до 162 мм  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офсет - с 33 мм до 38 мм в стандартной версии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Конус для посадки головки должен составлять 12/14. 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Имплантация не должна требовать применения разверток для канала бедренной кости.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Головка 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Должна быть изготовлена из нержавеющей стали, должна иметь конус 12/14, диаметром 28 мм</w:t>
            </w:r>
            <w:proofErr w:type="gramStart"/>
            <w:r w:rsidRPr="009C589C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9C589C">
              <w:rPr>
                <w:rFonts w:ascii="Times New Roman" w:hAnsi="Times New Roman" w:cs="Times New Roman"/>
              </w:rPr>
              <w:t>Не менее 4 типоразмеров по глубине посадки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Цементная Чашка: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Должен представлять собой полную полусферу,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Должен быть изготовлен из высокомолекулярного полиэтилена, с внутренним диаметром под головку 28 мм.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Должен иметь циркулярные борозды для цемента и 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рентгеноконтрастный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маркер в виде проволочного кольца, расположенного по периферии чашки.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 xml:space="preserve">Размеры </w:t>
            </w:r>
            <w:proofErr w:type="spellStart"/>
            <w:r w:rsidRPr="009C589C">
              <w:rPr>
                <w:rFonts w:ascii="Times New Roman" w:hAnsi="Times New Roman" w:cs="Times New Roman"/>
              </w:rPr>
              <w:t>ацетабулярного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компонента под головку 28 мм должны быть: от  44 до 60 мм с шагом в 2 мм.</w:t>
            </w: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589C" w:rsidRPr="009C589C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t>Костный цемент</w:t>
            </w:r>
          </w:p>
          <w:p w:rsidR="009C589C" w:rsidRPr="00C24DE7" w:rsidRDefault="009C589C" w:rsidP="009C5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89C">
              <w:rPr>
                <w:rFonts w:ascii="Times New Roman" w:hAnsi="Times New Roman" w:cs="Times New Roman"/>
              </w:rPr>
              <w:lastRenderedPageBreak/>
              <w:t xml:space="preserve">Представляет собой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самоотвердевающую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цементообразную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смесь, предназначенную для крепления металлических или полимерных </w:t>
            </w:r>
            <w:proofErr w:type="spellStart"/>
            <w:r w:rsidRPr="009C589C">
              <w:rPr>
                <w:rFonts w:ascii="Times New Roman" w:hAnsi="Times New Roman" w:cs="Times New Roman"/>
              </w:rPr>
              <w:t>эндопротезов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к естественной кости во время </w:t>
            </w:r>
            <w:proofErr w:type="spellStart"/>
            <w:r w:rsidRPr="009C589C">
              <w:rPr>
                <w:rFonts w:ascii="Times New Roman" w:hAnsi="Times New Roman" w:cs="Times New Roman"/>
              </w:rPr>
              <w:t>артропластических</w:t>
            </w:r>
            <w:proofErr w:type="spellEnd"/>
            <w:r w:rsidRPr="009C589C">
              <w:rPr>
                <w:rFonts w:ascii="Times New Roman" w:hAnsi="Times New Roman" w:cs="Times New Roman"/>
              </w:rPr>
              <w:t xml:space="preserve"> операций, с наличием гентамицина (антибиотика) и без него, средней или высокой вязкости</w:t>
            </w:r>
          </w:p>
        </w:tc>
      </w:tr>
    </w:tbl>
    <w:p w:rsidR="00A45176" w:rsidRPr="008A5056" w:rsidRDefault="00A45176" w:rsidP="00A45176">
      <w:pPr>
        <w:rPr>
          <w:rFonts w:ascii="Times New Roman" w:hAnsi="Times New Roman" w:cs="Times New Roman"/>
          <w:b/>
          <w:sz w:val="24"/>
          <w:szCs w:val="24"/>
        </w:rPr>
      </w:pPr>
    </w:p>
    <w:p w:rsidR="00A45176" w:rsidRDefault="00A45176"/>
    <w:sectPr w:rsidR="00A45176" w:rsidSect="001A092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2E23"/>
    <w:multiLevelType w:val="multilevel"/>
    <w:tmpl w:val="3FD41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ED510B6"/>
    <w:multiLevelType w:val="hybridMultilevel"/>
    <w:tmpl w:val="50703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CA9"/>
    <w:rsid w:val="000126B8"/>
    <w:rsid w:val="0005497F"/>
    <w:rsid w:val="000A5AFF"/>
    <w:rsid w:val="00130F85"/>
    <w:rsid w:val="00146CA9"/>
    <w:rsid w:val="00163204"/>
    <w:rsid w:val="001A0920"/>
    <w:rsid w:val="001F3622"/>
    <w:rsid w:val="00255510"/>
    <w:rsid w:val="00376BEF"/>
    <w:rsid w:val="00423DEE"/>
    <w:rsid w:val="004648EB"/>
    <w:rsid w:val="00487E00"/>
    <w:rsid w:val="004C69A7"/>
    <w:rsid w:val="00525216"/>
    <w:rsid w:val="006160A2"/>
    <w:rsid w:val="00622BB7"/>
    <w:rsid w:val="00630511"/>
    <w:rsid w:val="006821F5"/>
    <w:rsid w:val="00787E18"/>
    <w:rsid w:val="00807422"/>
    <w:rsid w:val="008919AE"/>
    <w:rsid w:val="008B3076"/>
    <w:rsid w:val="009064D6"/>
    <w:rsid w:val="009869FA"/>
    <w:rsid w:val="009C589C"/>
    <w:rsid w:val="009E613B"/>
    <w:rsid w:val="00A45176"/>
    <w:rsid w:val="00AE0477"/>
    <w:rsid w:val="00B6442B"/>
    <w:rsid w:val="00B929F3"/>
    <w:rsid w:val="00BD4142"/>
    <w:rsid w:val="00C154CC"/>
    <w:rsid w:val="00C24DE7"/>
    <w:rsid w:val="00C251F7"/>
    <w:rsid w:val="00C55793"/>
    <w:rsid w:val="00D15758"/>
    <w:rsid w:val="00DD341D"/>
    <w:rsid w:val="00DE5B33"/>
    <w:rsid w:val="00DE6781"/>
    <w:rsid w:val="00DF01C3"/>
    <w:rsid w:val="00E040E1"/>
    <w:rsid w:val="00E910ED"/>
    <w:rsid w:val="00ED02ED"/>
    <w:rsid w:val="00EE58EF"/>
    <w:rsid w:val="00F06A64"/>
    <w:rsid w:val="00F52F97"/>
    <w:rsid w:val="00F72720"/>
    <w:rsid w:val="00FB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E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74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E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7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Петрова Анна Олеговна</cp:lastModifiedBy>
  <cp:revision>2</cp:revision>
  <cp:lastPrinted>2015-08-10T01:59:00Z</cp:lastPrinted>
  <dcterms:created xsi:type="dcterms:W3CDTF">2015-09-16T08:48:00Z</dcterms:created>
  <dcterms:modified xsi:type="dcterms:W3CDTF">2015-09-16T08:48:00Z</dcterms:modified>
</cp:coreProperties>
</file>